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50" w:rsidRDefault="00C05850" w:rsidP="00C05850">
      <w:pPr>
        <w:pStyle w:val="p"/>
        <w:spacing w:before="0" w:beforeAutospacing="0" w:after="0" w:afterAutospacing="0"/>
        <w:ind w:firstLine="567"/>
        <w:jc w:val="both"/>
        <w:rPr>
          <w:b/>
          <w:color w:val="444444"/>
          <w:sz w:val="28"/>
          <w:szCs w:val="28"/>
        </w:rPr>
      </w:pPr>
      <w:r w:rsidRPr="00C05850">
        <w:rPr>
          <w:b/>
          <w:color w:val="444444"/>
          <w:sz w:val="28"/>
          <w:szCs w:val="28"/>
        </w:rPr>
        <w:t>Тема АДМИНИСТРАТИВНОЕ ПРАВО КАК ОТРАСЛЬ ПРАВА</w:t>
      </w:r>
    </w:p>
    <w:p w:rsidR="00C05850" w:rsidRDefault="00C05850" w:rsidP="00C05850">
      <w:pPr>
        <w:pStyle w:val="p"/>
        <w:spacing w:before="0" w:beforeAutospacing="0" w:after="0" w:afterAutospacing="0"/>
        <w:ind w:firstLine="567"/>
        <w:jc w:val="both"/>
        <w:rPr>
          <w:b/>
          <w:color w:val="444444"/>
          <w:sz w:val="28"/>
          <w:szCs w:val="28"/>
        </w:rPr>
      </w:pPr>
    </w:p>
    <w:p w:rsidR="00C05850" w:rsidRPr="00C05850" w:rsidRDefault="00C05850" w:rsidP="00C05850">
      <w:pPr>
        <w:pStyle w:val="p"/>
        <w:spacing w:before="0" w:beforeAutospacing="0" w:after="0" w:afterAutospacing="0"/>
        <w:ind w:firstLine="567"/>
        <w:jc w:val="both"/>
        <w:rPr>
          <w:b/>
          <w:color w:val="444444"/>
          <w:sz w:val="28"/>
          <w:szCs w:val="28"/>
        </w:rPr>
      </w:pPr>
      <w:r>
        <w:rPr>
          <w:b/>
          <w:color w:val="444444"/>
          <w:sz w:val="28"/>
          <w:szCs w:val="28"/>
        </w:rPr>
        <w:t>Составьте краткий конспект</w:t>
      </w:r>
    </w:p>
    <w:p w:rsidR="00C05850" w:rsidRPr="00C05850" w:rsidRDefault="00C05850" w:rsidP="00C05850">
      <w:pPr>
        <w:pStyle w:val="p"/>
        <w:spacing w:before="0" w:beforeAutospacing="0" w:after="0" w:afterAutospacing="0"/>
        <w:ind w:firstLine="567"/>
        <w:jc w:val="both"/>
        <w:rPr>
          <w:color w:val="444444"/>
          <w:sz w:val="28"/>
          <w:szCs w:val="28"/>
        </w:rPr>
      </w:pP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2.1. Понятие и признаки отрасли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Административное право – отрасль российского права, система юридических норм, регулирующая общественные отношения, складывающиеся в процессе реализации задач и функций органов государственной власти, местного самоуправления при осуществлении исполнительно-распорядительной деятельности, а также отношения внутриорганизационного характера на предприятиях, в учреждениях, организациях.</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Признаки отрасли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является одной из основополагающих отраслей публичного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представляет собой совокупность юридических норм;</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имеет обособленный предмет правового регулирования – управленческие отношения, возникающие как в сфере государственного управления, так и в других сферах;</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имеет свой метод правового регулирования;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обладает внутренней согласованностью, состоит из определенных элементов;</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имеет внешнее выражение, т. е. закрепляется в определенных формах-источниках.</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Критерии (основания) деления права на отрасли составляют предмет, метод, наличие обособленной нормативной правовой базы.</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2.2. Предмет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Общественные отношения в сфере государственного управления, а также управленческие отношения, возникающие в иных сферах жизнедеятельности общества, составляют предмет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Виды управленческих отношений, регулируемых нормами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По субъектному признаку:</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между соподчиненными субъектами государственного управления (вертикальные отношения);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между субъектами исполнительной власти, не находящимися в состоянии соподчинения (горизонтальные отношения);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между субъектами исполнительной власти и исполнительными органами местного самоуправления;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между субъектами исполнительной власти и общественными объединениями;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между субъектами исполнительной власти и государственными служащими;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между субъектами исполнительной власти и гражданами;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между субъектами исполнительной власти и иными субъектами. По признаку государственно-территориального устройства: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между центральными органами федеральной исполнительной власти и исполнительными органами субъектов Федерации;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между органами исполнительной власти субъектов Федерации;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lastRenderedPageBreak/>
        <w:t>• между органами исполнительной власти субъектов Федерации и исполнительными органами местного самоуправления.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В зависимости от направления воздействия: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внешние отношения, отношения в связи с реализацией полномочий органов исполнительной власти вовне;</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внутренние отношения, т. е. внутриорганизационные, внутрисистемные отношения.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xml:space="preserve">Предмет административного права отличается динамичностью. Отдельные отношения, например таможенные, частично в сфере местного самоуправления, в настоящее время являются предметом правового регулирования таможенного, муниципального права, что обусловлено формированием новых отраслей российского права. Некоторые группы отношений на данном этапе составляют предмет административного права, что явилось результатом систематизации норм, устанавливающих административную ответственность, в </w:t>
      </w:r>
      <w:proofErr w:type="spellStart"/>
      <w:r w:rsidRPr="00C05850">
        <w:rPr>
          <w:color w:val="444444"/>
          <w:sz w:val="28"/>
          <w:szCs w:val="28"/>
        </w:rPr>
        <w:t>КоАП</w:t>
      </w:r>
      <w:proofErr w:type="spellEnd"/>
      <w:r w:rsidRPr="00C05850">
        <w:rPr>
          <w:color w:val="444444"/>
          <w:sz w:val="28"/>
          <w:szCs w:val="28"/>
        </w:rPr>
        <w:t>.</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2.3. Метод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Совокупность предписывающих, запрещающих и дозволительных средств воздействия на управленческие отношения составляет метод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Характеристика административно-правового метода: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1) представляет собой определенное соотношение сре</w:t>
      </w:r>
      <w:proofErr w:type="gramStart"/>
      <w:r w:rsidRPr="00C05850">
        <w:rPr>
          <w:color w:val="444444"/>
          <w:sz w:val="28"/>
          <w:szCs w:val="28"/>
        </w:rPr>
        <w:t>дств пр</w:t>
      </w:r>
      <w:proofErr w:type="gramEnd"/>
      <w:r w:rsidRPr="00C05850">
        <w:rPr>
          <w:color w:val="444444"/>
          <w:sz w:val="28"/>
          <w:szCs w:val="28"/>
        </w:rPr>
        <w:t>едписания, запрета и дозволения;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2) наиболее присущи правовые средства распорядительного типа;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3) чаще всего представляет собой одностороннее волеизъявление одного из участников регулируемого отношения;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4) не исключает использования диспозитивных средств;</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5) отличается динамизмом, что обусловлено природой управленческих отношений.</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xml:space="preserve">Предписание – метод правового регулирования, предполагающий возложение </w:t>
      </w:r>
      <w:proofErr w:type="gramStart"/>
      <w:r w:rsidRPr="00C05850">
        <w:rPr>
          <w:color w:val="444444"/>
          <w:sz w:val="28"/>
          <w:szCs w:val="28"/>
        </w:rPr>
        <w:t>на</w:t>
      </w:r>
      <w:proofErr w:type="gramEnd"/>
      <w:r w:rsidRPr="00C05850">
        <w:rPr>
          <w:color w:val="444444"/>
          <w:sz w:val="28"/>
          <w:szCs w:val="28"/>
        </w:rPr>
        <w:t xml:space="preserve"> </w:t>
      </w:r>
      <w:proofErr w:type="gramStart"/>
      <w:r w:rsidRPr="00C05850">
        <w:rPr>
          <w:color w:val="444444"/>
          <w:sz w:val="28"/>
          <w:szCs w:val="28"/>
        </w:rPr>
        <w:t>субъекта</w:t>
      </w:r>
      <w:proofErr w:type="gramEnd"/>
      <w:r w:rsidRPr="00C05850">
        <w:rPr>
          <w:color w:val="444444"/>
          <w:sz w:val="28"/>
          <w:szCs w:val="28"/>
        </w:rPr>
        <w:t xml:space="preserve"> управленческой деятельности обязанностей совершения определенных действий в условиях, предписанных административно-правовой нормой.</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Запрет – метод правового регулирования, предполагающий возложение обязанностей на участников управленческих отношений воздержаться от определенного варианта поведения под угрозой применения мер государственного принуждения.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Дозволение – метод правового регулирования, предоставляющий участникам управленческих отношений возможность самим выбирать наиболее приемлемый вариант поведения в тех пределах, которые определены нормами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В настоящее время диспозитивные средства правового регулирования начали применяться все более широко, что обусловлено тенденцией децентрализации государственного управления.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2.4. Система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Система административного права – это внутреннее строение административного права как отрасли права, совокупность взаимосвязанных, взаимообусловленных правовых институтов и норм.</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lastRenderedPageBreak/>
        <w:t>Признаки системы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xml:space="preserve">• </w:t>
      </w:r>
      <w:proofErr w:type="gramStart"/>
      <w:r w:rsidRPr="00C05850">
        <w:rPr>
          <w:color w:val="444444"/>
          <w:sz w:val="28"/>
          <w:szCs w:val="28"/>
        </w:rPr>
        <w:t>обусловлена</w:t>
      </w:r>
      <w:proofErr w:type="gramEnd"/>
      <w:r w:rsidRPr="00C05850">
        <w:rPr>
          <w:color w:val="444444"/>
          <w:sz w:val="28"/>
          <w:szCs w:val="28"/>
        </w:rPr>
        <w:t xml:space="preserve"> спецификой регулируемых общественных отношений;</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представляет собой объективное правовое явление;</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характеризуется взаимосвязанностью и взаимообусловленностью административно-правовых норм и институтов;</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включает определенные элементы;</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изменяется с учетом изменения предмета правового регулирования (управленческих отношений).</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Административно-правовой институт – комплекс административно-правовых норм, регулирующих определенный вид управленческих отношений и являющихся частью отрасли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Существуют следующие институты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принципов государственного управления;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административно-правового статуса граждан (физических лиц);</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административно-правового статуса органов исполнительной власти;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государственной и муниципальной службы;</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административно-правового статуса негосударственных (общественных) объединений;</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административно-правового статуса предприятий, учреждений и иных субъектов управления;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административно-правовых режимов;</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форм государственного управления;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методов государственного управления;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административной ответственности;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административного процесса;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обеспечения законности в государственном управлении;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административно-правовых основ межотраслевого управления (координации);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административно-правовых основ управления в сфере экономики;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административно-правовых основ управления в административно-правовой сфере;</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административно-правовых основ управления в социально-культурной сфере.</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2.5. Источники (формы)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Источники (формы) административного права это внешнее выражение и закрепление содержания норм административного права. Виды юридических источников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нормативный правовой акт – вид юридического акта, принятый компетентными субъектами правотворчества и содержащий нормы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административно-правовой договор нормативного содержания – двустороннее или многостороннее соглашение между субъектами правотворчества, содержащее нормы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lastRenderedPageBreak/>
        <w:t>• административный прецедент – решение по конкретному управленческому делу, которое становится обязательным для всех аналогичных дел, возникающих в будущем;</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правовой обычай – санкционированное государством исторически сложившееся правило поведения в сфере управления;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административно-правовая наука (доктрина) – научные труды (монографии, статьи, положения и т. д.) по вопросам административного права, на основании которых вырабатываются новые административно-правовые нормы и принимаются решения по конкретным управленческим делам.</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xml:space="preserve">Правосознание – совокупность идей, теорий, чувств, эмоций, взглядов, настроений, переживаний, на основании которых вырабатываются новые административно-правовые нормы и принимаются решения по конкретным управленческим делам (выступало источником права </w:t>
      </w:r>
      <w:proofErr w:type="gramStart"/>
      <w:r w:rsidRPr="00C05850">
        <w:rPr>
          <w:color w:val="444444"/>
          <w:sz w:val="28"/>
          <w:szCs w:val="28"/>
        </w:rPr>
        <w:t>в первые</w:t>
      </w:r>
      <w:proofErr w:type="gramEnd"/>
      <w:r w:rsidRPr="00C05850">
        <w:rPr>
          <w:color w:val="444444"/>
          <w:sz w:val="28"/>
          <w:szCs w:val="28"/>
        </w:rPr>
        <w:t xml:space="preserve"> годы советской власти).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xml:space="preserve">Основополагающий источник административного права – нормативный правовой акт, что обусловлено принадлежностью российской правовой системы </w:t>
      </w:r>
      <w:proofErr w:type="spellStart"/>
      <w:r w:rsidRPr="00C05850">
        <w:rPr>
          <w:color w:val="444444"/>
          <w:sz w:val="28"/>
          <w:szCs w:val="28"/>
        </w:rPr>
        <w:t>кромано-германской</w:t>
      </w:r>
      <w:proofErr w:type="spellEnd"/>
      <w:r w:rsidRPr="00C05850">
        <w:rPr>
          <w:color w:val="444444"/>
          <w:sz w:val="28"/>
          <w:szCs w:val="28"/>
        </w:rPr>
        <w:t xml:space="preserve"> правовой системе.</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xml:space="preserve">Виды нормативных правовых актов – источников административного права: </w:t>
      </w:r>
      <w:proofErr w:type="gramStart"/>
      <w:r w:rsidRPr="00C05850">
        <w:rPr>
          <w:color w:val="444444"/>
          <w:sz w:val="28"/>
          <w:szCs w:val="28"/>
        </w:rPr>
        <w:t>Конституция; федеральные конституционные законы; федеральные законы; законы СССР, не противоречащие российскому законодательству; законы РСФСР, не противоречащие российскому законодательству; указы Президента РФ; постановления Правительства РФ; постановления Государственной Думы и Совета Федерации Федерального Собрания РФ; нормативные правовые акты федеральных органов исполнительной власти; конституции и уставы субъектов РФ; законы и другие нормативные правовые акты представительных (законодательных) органов субъектов РФ;</w:t>
      </w:r>
      <w:proofErr w:type="gramEnd"/>
      <w:r w:rsidRPr="00C05850">
        <w:rPr>
          <w:color w:val="444444"/>
          <w:sz w:val="28"/>
          <w:szCs w:val="28"/>
        </w:rPr>
        <w:t xml:space="preserve"> нормативные правовые акты органов исполнительной власти субъектов РФ; нормативные правовые акты исполнительной власти органов местного самоуправления; локальные нормативные правовые акты (отдельных предприятий, учреждений, организаций).</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Источники административного права отличаются низкой степенью систематизации нормативных правовых актов. В настоящее время систематизировано законодательство, устанавливающее административную ответственность и производство по делам об административных правонарушениях.</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2.6. Административное право в системе российского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Административное право наиболее тесно взаимодействует со следующими отраслями российского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конституционным правом. Конституционное право закрепляет основы государственного устройства, права и свободы человека и гражданина, основы федерального устройства, систему органов государственной власти. Административное право детализирует (</w:t>
      </w:r>
      <w:proofErr w:type="gramStart"/>
      <w:r w:rsidRPr="00C05850">
        <w:rPr>
          <w:color w:val="444444"/>
          <w:sz w:val="28"/>
          <w:szCs w:val="28"/>
        </w:rPr>
        <w:t xml:space="preserve">конкретизирует) </w:t>
      </w:r>
      <w:proofErr w:type="gramEnd"/>
      <w:r w:rsidRPr="00C05850">
        <w:rPr>
          <w:color w:val="444444"/>
          <w:sz w:val="28"/>
          <w:szCs w:val="28"/>
        </w:rPr>
        <w:t>нормы конституционного права, определяет механизм реализации прав и свобод граждан в сфере государственного управления, компетенцию органов исполнительной власти; формы и методы государственно-управленческой деятельности;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xml:space="preserve">• гражданским правом. Нормы гражданского права регулируют частноправовые отношения, возникающие в сфере государственного управления, </w:t>
      </w:r>
      <w:r w:rsidRPr="00C05850">
        <w:rPr>
          <w:color w:val="444444"/>
          <w:sz w:val="28"/>
          <w:szCs w:val="28"/>
        </w:rPr>
        <w:lastRenderedPageBreak/>
        <w:t>по владению, пользованию и распоряжению имуществом, а также отношения, связанные с реализацией личных неимущественных благ. Нормы административного права определяют порядок передачи имущества, лицензирования, контрольной и других видов деятельности, связанной с данными отношениями;</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уголовным правом. Нормы административного права взаимодействуют с нормами уголовного права при обеспечении общественного порядка и общественной безопасности посредством применения мер административной и уголовной ответственности. На основе анализа совершения деяния, его соотношения с нормами административного и уголовного права определяется степень общественной опасности деяния;</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финансовым правом. Административное право закрепляет систему органов управления в финансово-кредитной сфере, формы и методы их деятельности. Финансовое право регулирует управленческие отношения, связанные с формированием бюджета, его исполнением, функционированием налоговой системы;</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земельным и экологическим правом. Значительная часть отношений, отнесенных к предмету земельного и экологического права, особенно в части применения мер государственного принуждения, регулируется нормами административного права;</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трудовым правом. Особенно тесно взаимодействует при регулировании вопросов государственной службы, которая является комплексным правовым институтом;</w:t>
      </w:r>
    </w:p>
    <w:p w:rsidR="00C05850" w:rsidRPr="00C05850" w:rsidRDefault="00C05850" w:rsidP="00C05850">
      <w:pPr>
        <w:pStyle w:val="p1"/>
        <w:spacing w:before="0" w:beforeAutospacing="0" w:after="0" w:afterAutospacing="0"/>
        <w:ind w:firstLine="567"/>
        <w:jc w:val="both"/>
        <w:rPr>
          <w:color w:val="444444"/>
          <w:sz w:val="28"/>
          <w:szCs w:val="28"/>
        </w:rPr>
      </w:pPr>
      <w:r w:rsidRPr="00C05850">
        <w:rPr>
          <w:color w:val="444444"/>
          <w:sz w:val="28"/>
          <w:szCs w:val="28"/>
        </w:rPr>
        <w:t>• уголовно-процессуальным и гражданско-процессуальным правом. В рамках административного процесса часто имеет место субсидиарное применение норм уголовно-процессуального и гражданско-процессуального права. </w:t>
      </w:r>
    </w:p>
    <w:p w:rsidR="00000000" w:rsidRPr="00C05850" w:rsidRDefault="00C05850" w:rsidP="00C05850">
      <w:pPr>
        <w:spacing w:after="0" w:line="240" w:lineRule="auto"/>
        <w:ind w:firstLine="567"/>
        <w:jc w:val="both"/>
        <w:rPr>
          <w:rFonts w:ascii="Times New Roman" w:hAnsi="Times New Roman" w:cs="Times New Roman"/>
          <w:sz w:val="28"/>
          <w:szCs w:val="28"/>
        </w:rPr>
      </w:pPr>
    </w:p>
    <w:p w:rsidR="00C05850" w:rsidRPr="00C05850" w:rsidRDefault="00C05850">
      <w:pPr>
        <w:spacing w:after="0" w:line="240" w:lineRule="auto"/>
        <w:ind w:firstLine="567"/>
        <w:jc w:val="both"/>
        <w:rPr>
          <w:rFonts w:ascii="Times New Roman" w:hAnsi="Times New Roman" w:cs="Times New Roman"/>
          <w:sz w:val="28"/>
          <w:szCs w:val="28"/>
        </w:rPr>
      </w:pPr>
    </w:p>
    <w:sectPr w:rsidR="00C05850" w:rsidRPr="00C05850" w:rsidSect="00C0585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05850"/>
    <w:rsid w:val="00C05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C058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C05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4582731">
      <w:bodyDiv w:val="1"/>
      <w:marLeft w:val="0"/>
      <w:marRight w:val="0"/>
      <w:marTop w:val="0"/>
      <w:marBottom w:val="0"/>
      <w:divBdr>
        <w:top w:val="none" w:sz="0" w:space="0" w:color="auto"/>
        <w:left w:val="none" w:sz="0" w:space="0" w:color="auto"/>
        <w:bottom w:val="none" w:sz="0" w:space="0" w:color="auto"/>
        <w:right w:val="none" w:sz="0" w:space="0" w:color="auto"/>
      </w:divBdr>
      <w:divsChild>
        <w:div w:id="23883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Мазничко И Г</dc:creator>
  <cp:keywords/>
  <dc:description/>
  <cp:lastModifiedBy>Мазничко И Г</cp:lastModifiedBy>
  <cp:revision>3</cp:revision>
  <dcterms:created xsi:type="dcterms:W3CDTF">2020-05-06T13:01:00Z</dcterms:created>
  <dcterms:modified xsi:type="dcterms:W3CDTF">2020-05-06T13:02:00Z</dcterms:modified>
</cp:coreProperties>
</file>